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December 19,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https://meet.google.com/xpg-kozo-svy?hl=en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+1 320-318-7157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817 732 828#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Police Chief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Chief/Code Enforcement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MCC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Main Street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DCDC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Consent Agenda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Approve minutes of 12/05/2024 meeting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Approve claims as presented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Approve Third Reading to amend Chapter 69 the Code of Ordinances of the City of </w:t>
        <w:tab/>
        <w:tab/>
        <w:tab/>
        <w:t xml:space="preserve">Bloomfield, IA by amending the restrictions on parking, establishing penalties and establishing an </w:t>
        <w:tab/>
        <w:t xml:space="preserve">effective date.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 and Decide on waiving code enforcement fines for residents at 205 W North Street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Approve Resolution for Non-Union Raises for FY26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 and Decide on FY26 Budget for Capital Project Requests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 and Decide on FY26 Budget for Community Development Funds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 and Decide on FY26 Budget for Capital Equipment Requests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 and Decide on purchasing electric poles from Bridgewater Resources in the amount of </w:t>
        <w:tab/>
        <w:tab/>
        <w:t xml:space="preserve">$18,910.00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Approve resignation of Ron Henkenius from Cemetery Board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Approve Resolution approving Mayor’s appointment of Bill Van Cleave to Cemetery Board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Approve Resolution approving Mayor’s re- appointment of Larry Miller to Cemetery Board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Reports - Discuss and Decide Any Issue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 Administrator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Director of Public Works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Community Development Director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Council Updates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Mayor Comments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xpg-kozo-svy?hl=en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