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Bloomfield City Council Meeting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September 19, 2024 at 7:00 pm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Bloomfield Public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https://meet.google.com/guo-trqn-dzo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Dial-in: (US) +1 650-597-0167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PIN: 495 461 629#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Welcome Guests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Police Chief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Fire Chief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MCC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Main Street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DCDC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minutes of 9/5/2024 meeting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claims as presented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Second Reading of Chapter 41 of the Code of Ordinances regarding dates of sale </w:t>
        <w:tab/>
        <w:t xml:space="preserve">and discharge of fireworks, and establishing an effective date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Discuss and Decide on sewer liner issue again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Discuss and Decide on offering employees a 6 month membership to the Mutchler </w:t>
        <w:tab/>
        <w:t xml:space="preserve"> </w:t>
        <w:tab/>
        <w:t xml:space="preserve">Community Center up to $130.00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Discuss and Decide on Santa House and Christmas decor for the Square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Invoice# 18526 from French-Reneker in the amount of $22,651.17 for work on the </w:t>
        <w:tab/>
        <w:t xml:space="preserve">sidewalks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Authorize the Mayor to sign Resolution accepting the Price Settlement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Authorize the Mayor to sign the Amended Engagement Agreement with Ahlers Cooney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“Resolution fixing date for a meeting on the authorization of a loan and </w:t>
        <w:tab/>
        <w:tab/>
        <w:tab/>
        <w:t xml:space="preserve">disbursement agreement and the issuance of not to exceed $520,000 Sewer Revenue Capital</w:t>
        <w:tab/>
        <w:t xml:space="preserve">Loan Notes of</w:t>
        <w:tab/>
        <w:t xml:space="preserve">the City of Bloomfield, State of Iowa, and providing for publication of notice</w:t>
        <w:tab/>
        <w:t xml:space="preserve">thereof”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Reports - Discuss and Decide Any Issue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City Administrator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IMFOA Conference 10/17-18/2024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Director of Public Works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Community Development Director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Council Updates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Mayor Comments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Adjournment</w:t>
      </w:r>
    </w:p>
    <w:sectPr>
      <w:footerReference r:id="rId7" w:type="default"/>
      <w:pgSz w:h="15840" w:w="12240" w:orient="portrait"/>
      <w:pgMar w:bottom="360" w:top="540" w:left="108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 Items on the Agenda are Subject to Vote.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The agenda for council meetings is made public 24 hours prior to the meeting. By adding “Public Comment” to the agenda, this will allow citizens a chance to voice any comments they have.  When addressing the Council, the person must stand, give their name and limit their remarks to 3 (three) minutes.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guo-trqn-dzo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